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39854" cy="432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854" cy="4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LICEO G. BERTO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Informativa inerente l'utilizzo della piattaforma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GOOGLE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Workspace for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 piattaforma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Workspace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Liceo “G.BERTO” di Mogliano Veneto ha attivato i servizi della piattaforma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Workspace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 Google mette gratuitamente a disposizione delle scuole e delle università. Questa “Suite” è costituita da un insieme di applicazioni. Le principali sono: la posta elettronica, i documenti condivisi (Google Drive), il Calendario, i siti web (Sites) e Google Classroom (classi virtuali). Le funzionalità sono le stesse, praticamente identiche anche a quelle degli account Gmail di tipo privato, ma la grande differenza è nelle condizioni d’uso: per 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Workspace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proprietà dei dati rimane in capo all'utente con totale protezione e privacy e priva di pubblicità, mentre per gli account privati le possibilità di “intromissione” da parte di Google sono numerose.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L'obiettivo di questa iniziativa è ottimizzare, attraverso le tecnologie di rete, l’attività didattica e la circolazione delle informazioni interne, come comunicazioni, documentazione e didattica (tramite uso di applicazioni specifiche).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applicazioni della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Workspace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consentono di gestire in modo efficace il flusso informativo all’interno dell’istituto attraverso tre strumenti principali e relative applicazioni: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Comunicazione: Gmail, Hangouts, Calendar, Gruppi, Google+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Archiviazione: Drive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Collaborazione: condivisione di Documenti, Fogli, Presentazioni, Moduli, Sites e di Google Classroom per la gestione delle classi virtuali.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precisa che: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ogni studente sarà assegnata una casella postale composta dal proprio cognome, nome e anno nascita seguita dal nome di dominio della scuola, esempio: nome.cognome@liceoberto.it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studenti potranno utilizzare la casella di posta all’interno del dominio @liceoberto.it e ad uso esclusivo per le attività didattiche della scuola.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presente documento vuole definire alcune regole di comportamento per il corretto utilizzo della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sulla base degli impegni assunti dalla scuola con l’azienda.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evidenzia che, per i minori di anni 18, l'attivazione sarà possibile solo in presenza della liberatoria da parte di un genitore o tutore.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ulteriori informazioni sulla configurazione della piattaforma e sui termini del servizio visitare le pagine web seguenti: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Guide per la formazione, i suggerimenti, le idee e le tante altre risorse utili presenti nel Centro didattico di “G Suite” :(https://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https://support.google.com/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Presentazione di Google Classroom (sito di Google):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(https://support. google. com/edu/classroom).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Informazioni sulla privacy e la sicurezza di Google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Workspace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(https://support.google.com/a/answer/6356509?hI=it).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Termini di servizio: (https://policies.google.com/terms).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Norme sulla privacy: (https://policies.google.com/terms).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1 — Dichiarazione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Dopo aver riconsegnato la dichiarazione liberatoria debitamente sottoscritta anche dal proprio genitore o tutore, lo studente riceverà la password per accedere ai servizi di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questo modo vi è una dichiarazione esplicita di essere a conoscenza delle presenti regole, della normativa locale, nazionale ed europea vigente in materia.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2 — Durata del rapporto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Rapporto per l’uso di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lo Studente ha durata annuale e viene rinnovato automaticamente all'atto dell’iscrizione agli anni successivi. Non potrà essere rinnovato l’uso alle persone che perdono il titolo di “studente” del Liceo per trasferimento, conseguimento del diploma o altro.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3 — Obblighi dello Studente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Studente si impegna: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conservare la password personale e a non consentirne l’uso ad altre persone;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comunicare immediatamente attraverso email all'indirizzo: cecilia.cecchi@liceoberto.it l'impossibilità ad accedere al proprio account o il sospetto che altri possano accedervi;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non consentire ad altri, a nessun titolo, l'utilizzo della piattaforma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non diffondere eventuali informazioni riservate di cui venisse a conoscenza, relative all'attività delle altre persone che utilizzano il servizio;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osservare il presente regolamento,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pena la sospensione dell'account personale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dello Studente da parte dell’Istituto;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utilizzare i servizi offerti solo ad uso esclusivo per le attività didattiche della scuola.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Studente e la sua famiglia si assumono la piena responsabilità di tutti i dati da lui inoltrati, creati e gestiti attraverso la piattaforma Google Suite for Education.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4 — Limiti di Responsabilità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L’Istituto non si ritiene responsabile di eventuali danni arrecati allo Studente a causa di guasti e/o malfunzionamenti del servizio e si impegna affinché la piattaforma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funzioni nel migliore dei modi.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5 — Netiquette per lo STUDENTE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seguito sono elencate le regole di comportamento che ogni studente deve seguire affinché il servizio possa funzionare nel miglior modo possibile, tenendo presente che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cortesia ed educazione, che regolano i rapporti comuni tra le persone, valgono anche in questo contesto: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studente dovrà accedere alla piattaforma con frequenza quotidiana in quanto il servizio è uno dei mezzi di comunicazione tra i Docenti e lo Studente;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Nell’eventuale utilizzo di un PC condiviso nell'uso con altri, si userà sempre il software Google Chrome o Firefox in modalità navigazione in incognito;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posta e in gruppi si invieranno messaggi brevi che descrivono in modo chiaro di cosa si sta discutendo; si indicherà sempre chiaramente l’oggetto in modo tale che il destinatario possa immediatamente individuare l'argomento della mail ricevuta;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dovranno mai essere inviate lettere o comunicazioni a catena (es. catena di S. Antonio o altri sistemi di carattere “piramidale”) che causano un inutile aumento del traffico in rete;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si utilizzerà la piattaforma in modo da danneggiare, molestare o insultare altre persone;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si dovranno creare né trasmettere immagini, dati o materiali offensivi, osceni o indecenti;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si dovranno creare né trasmettere materiale offensivo per altre persone o enti;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si dovranno creare né trasmettere materiale commerciale o pubblicitario se non espressamente autorizzati;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condivisione di documenti, non si dovrà interferire, danneggiare o distruggere il lavoro dei docenti o dei compagni;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si dovrà esplorare per curiosità nei file e non si dovrà violare la riservatezza degli altri studenti;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L’uso del computer e della piattaforma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dovrà avvenire in modo da mostrare considerazione e rispetto per compagni 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insegnanti.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precisa che: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L’infrazione alle regole nell'uso della piattaforma informatica comporta sanzioni disciplinari come da regolamento d'istituto.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L’informativa è conforme al Regolamento europeo 2016/679 in materia di protezione dati personali.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26" w:top="568" w:left="1134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Corpotesto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 w:val="1"/>
    <w:qFormat w:val="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 w:val="1"/>
    <w:qFormat w:val="1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qFormat w:val="1"/>
    <w:pPr>
      <w:spacing w:after="180" w:before="180"/>
    </w:pPr>
  </w:style>
  <w:style w:type="paragraph" w:styleId="FirstParagraph" w:customStyle="1">
    <w:name w:val="First Paragraph"/>
    <w:basedOn w:val="Corpotesto"/>
    <w:next w:val="Corpotesto"/>
    <w:qFormat w:val="1"/>
  </w:style>
  <w:style w:type="paragraph" w:styleId="Compact" w:customStyle="1">
    <w:name w:val="Compact"/>
    <w:basedOn w:val="Corpotesto"/>
    <w:qFormat w:val="1"/>
    <w:pPr>
      <w:spacing w:after="36" w:before="36"/>
    </w:pPr>
  </w:style>
  <w:style w:type="paragraph" w:styleId="Titolo">
    <w:name w:val="Title"/>
    <w:basedOn w:val="Normale"/>
    <w:next w:val="Corpotesto"/>
    <w:qFormat w:val="1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ottotitolo">
    <w:name w:val="Subtitle"/>
    <w:basedOn w:val="Titolo"/>
    <w:next w:val="Corpotesto"/>
    <w:qFormat w:val="1"/>
    <w:pPr>
      <w:spacing w:before="240"/>
    </w:pPr>
    <w:rPr>
      <w:sz w:val="30"/>
      <w:szCs w:val="30"/>
    </w:rPr>
  </w:style>
  <w:style w:type="paragraph" w:styleId="Author" w:customStyle="1">
    <w:name w:val="Author"/>
    <w:next w:val="Corpotesto"/>
    <w:qFormat w:val="1"/>
    <w:pPr>
      <w:keepNext w:val="1"/>
      <w:keepLines w:val="1"/>
      <w:jc w:val="center"/>
    </w:pPr>
  </w:style>
  <w:style w:type="paragraph" w:styleId="Data">
    <w:name w:val="Date"/>
    <w:next w:val="Corpotesto"/>
    <w:qFormat w:val="1"/>
    <w:pPr>
      <w:keepNext w:val="1"/>
      <w:keepLines w:val="1"/>
      <w:jc w:val="center"/>
    </w:pPr>
  </w:style>
  <w:style w:type="paragraph" w:styleId="Abstract" w:customStyle="1">
    <w:name w:val="Abstract"/>
    <w:basedOn w:val="Normale"/>
    <w:next w:val="Corpotesto"/>
    <w:qFormat w:val="1"/>
    <w:pPr>
      <w:keepNext w:val="1"/>
      <w:keepLines w:val="1"/>
      <w:spacing w:after="300" w:before="300"/>
    </w:pPr>
    <w:rPr>
      <w:sz w:val="20"/>
      <w:szCs w:val="20"/>
    </w:rPr>
  </w:style>
  <w:style w:type="paragraph" w:styleId="Bibliografia">
    <w:name w:val="Bibliography"/>
    <w:basedOn w:val="Normale"/>
    <w:qFormat w:val="1"/>
  </w:style>
  <w:style w:type="paragraph" w:styleId="Testodelblocco">
    <w:name w:val="Block Text"/>
    <w:basedOn w:val="Corpotesto"/>
    <w:next w:val="Corpotesto"/>
    <w:uiPriority w:val="9"/>
    <w:unhideWhenUsed w:val="1"/>
    <w:qFormat w:val="1"/>
    <w:pPr>
      <w:spacing w:after="100" w:before="100"/>
    </w:pPr>
    <w:rPr>
      <w:rFonts w:asciiTheme="majorHAnsi" w:cstheme="majorBidi" w:eastAsiaTheme="majorEastAsia" w:hAnsiTheme="majorHAnsi"/>
      <w:bCs w:val="1"/>
      <w:sz w:val="20"/>
      <w:szCs w:val="20"/>
    </w:rPr>
  </w:style>
  <w:style w:type="paragraph" w:styleId="Testonotaapidipagina">
    <w:name w:val="footnote text"/>
    <w:basedOn w:val="Normale"/>
    <w:uiPriority w:val="9"/>
    <w:unhideWhenUsed w:val="1"/>
    <w:qFormat w:val="1"/>
  </w:style>
  <w:style w:type="paragraph" w:styleId="DefinitionTerm" w:customStyle="1">
    <w:name w:val="Definition Term"/>
    <w:basedOn w:val="Normale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 w:val="1"/>
    </w:rPr>
  </w:style>
  <w:style w:type="paragraph" w:styleId="TableCaption" w:customStyle="1">
    <w:name w:val="Table Caption"/>
    <w:basedOn w:val="Didascalia"/>
    <w:pPr>
      <w:keepNext w:val="1"/>
    </w:pPr>
  </w:style>
  <w:style w:type="paragraph" w:styleId="ImageCaption" w:customStyle="1">
    <w:name w:val="Image Caption"/>
    <w:basedOn w:val="Didascalia"/>
  </w:style>
  <w:style w:type="paragraph" w:styleId="Figure" w:customStyle="1">
    <w:name w:val="Figure"/>
    <w:basedOn w:val="Normale"/>
  </w:style>
  <w:style w:type="paragraph" w:styleId="FigurewithCaption" w:customStyle="1">
    <w:name w:val="Figure with Caption"/>
    <w:basedOn w:val="Figure"/>
    <w:pPr>
      <w:keepNext w:val="1"/>
    </w:pPr>
  </w:style>
  <w:style w:type="character" w:styleId="DidascaliaCarattere" w:customStyle="1">
    <w:name w:val="Didascalia Carattere"/>
    <w:basedOn w:val="Carpredefinitoparagrafo"/>
    <w:link w:val="Didascalia"/>
  </w:style>
  <w:style w:type="character" w:styleId="VerbatimChar" w:customStyle="1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 w:val="1"/>
    <w:qFormat w:val="1"/>
    <w:pPr>
      <w:spacing w:before="240" w:line="259" w:lineRule="auto"/>
      <w:outlineLvl w:val="9"/>
    </w:pPr>
    <w:rPr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e"/>
    <w:link w:val="VerbatimChar"/>
    <w:pPr>
      <w:wordWrap w:val="0"/>
    </w:pPr>
  </w:style>
  <w:style w:type="character" w:styleId="KeywordTok" w:customStyle="1">
    <w:name w:val="KeywordTok"/>
    <w:basedOn w:val="VerbatimChar"/>
    <w:rPr>
      <w:rFonts w:ascii="Consolas" w:hAnsi="Consolas"/>
      <w:b w:val="1"/>
      <w:color w:val="007020"/>
      <w:sz w:val="22"/>
    </w:rPr>
  </w:style>
  <w:style w:type="character" w:styleId="DataTypeTok" w:customStyle="1">
    <w:name w:val="DataTypeTok"/>
    <w:basedOn w:val="VerbatimChar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Pr>
      <w:rFonts w:ascii="Consolas" w:hAnsi="Consolas"/>
      <w:sz w:val="22"/>
    </w:rPr>
  </w:style>
  <w:style w:type="character" w:styleId="CommentTok" w:customStyle="1">
    <w:name w:val="CommentTok"/>
    <w:basedOn w:val="VerbatimChar"/>
    <w:rPr>
      <w:rFonts w:ascii="Consolas" w:hAnsi="Consolas"/>
      <w:i w:val="1"/>
      <w:color w:val="60a0b0"/>
      <w:sz w:val="22"/>
    </w:rPr>
  </w:style>
  <w:style w:type="character" w:styleId="DocumentationTok" w:customStyle="1">
    <w:name w:val="DocumentationTok"/>
    <w:basedOn w:val="VerbatimChar"/>
    <w:rPr>
      <w:rFonts w:ascii="Consolas" w:hAnsi="Consolas"/>
      <w:i w:val="1"/>
      <w:color w:val="ba2121"/>
      <w:sz w:val="22"/>
    </w:rPr>
  </w:style>
  <w:style w:type="character" w:styleId="AnnotationTok" w:customStyle="1">
    <w:name w:val="Annotation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CommentVarTok" w:customStyle="1">
    <w:name w:val="CommentVar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OtherTok" w:customStyle="1">
    <w:name w:val="OtherTok"/>
    <w:basedOn w:val="VerbatimChar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Pr>
      <w:rFonts w:ascii="Consolas" w:hAnsi="Consolas"/>
      <w:b w:val="1"/>
      <w:color w:val="007020"/>
      <w:sz w:val="22"/>
    </w:rPr>
  </w:style>
  <w:style w:type="character" w:styleId="OperatorTok" w:customStyle="1">
    <w:name w:val="OperatorTok"/>
    <w:basedOn w:val="VerbatimChar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Pr>
      <w:rFonts w:ascii="Consolas" w:hAnsi="Consolas"/>
      <w:sz w:val="22"/>
    </w:rPr>
  </w:style>
  <w:style w:type="character" w:styleId="ExtensionTok" w:customStyle="1">
    <w:name w:val="ExtensionTok"/>
    <w:basedOn w:val="VerbatimChar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WarningTok" w:customStyle="1">
    <w:name w:val="WarningTok"/>
    <w:basedOn w:val="VerbatimChar"/>
    <w:rPr>
      <w:rFonts w:ascii="Consolas" w:hAnsi="Consolas"/>
      <w:b w:val="1"/>
      <w:i w:val="1"/>
      <w:color w:val="60a0b0"/>
      <w:sz w:val="22"/>
    </w:rPr>
  </w:style>
  <w:style w:type="character" w:styleId="AlertTok" w:customStyle="1">
    <w:name w:val="AlertTok"/>
    <w:basedOn w:val="VerbatimChar"/>
    <w:rPr>
      <w:rFonts w:ascii="Consolas" w:hAnsi="Consolas"/>
      <w:b w:val="1"/>
      <w:color w:val="ff0000"/>
      <w:sz w:val="22"/>
    </w:rPr>
  </w:style>
  <w:style w:type="character" w:styleId="ErrorTok" w:customStyle="1">
    <w:name w:val="ErrorTok"/>
    <w:basedOn w:val="VerbatimChar"/>
    <w:rPr>
      <w:rFonts w:ascii="Consolas" w:hAnsi="Consolas"/>
      <w:b w:val="1"/>
      <w:color w:val="ff0000"/>
      <w:sz w:val="22"/>
    </w:rPr>
  </w:style>
  <w:style w:type="character" w:styleId="NormalTok" w:customStyle="1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rsid w:val="00E46B2F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E46B2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NrJIFHoqxdF25XgCrTqm8cDkw==">CgMxLjAyCGguZ2pkZ3hzOAByITFiMVRJTHE3cFZudU9Mak5WZ1ViNFBlSzZGbm80N2l3Qw==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2019-12-04T11:49:00Z</dcterms:created>
  <dc:creator>Annamaria Mulinari</dc:creator>
</cp:coreProperties>
</file>